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jc w:val="left"/>
        <w:rPr>
          <w:rFonts w:ascii="仿宋" w:hAnsi="仿宋" w:eastAsia="仿宋"/>
          <w:b/>
          <w:sz w:val="28"/>
          <w:szCs w:val="28"/>
        </w:rPr>
      </w:pPr>
      <w:r>
        <w:rPr>
          <w:rFonts w:hint="eastAsia" w:ascii="仿宋" w:hAnsi="仿宋" w:eastAsia="仿宋" w:cs="宋体"/>
          <w:b/>
          <w:color w:val="000000"/>
          <w:kern w:val="0"/>
          <w:sz w:val="24"/>
        </w:rPr>
        <w:t>附件二</w:t>
      </w:r>
    </w:p>
    <w:p>
      <w:pPr>
        <w:adjustRightInd w:val="0"/>
        <w:snapToGrid w:val="0"/>
        <w:spacing w:before="156" w:beforeLines="50"/>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党风廉政建设和党内监督工作考评表</w:t>
      </w:r>
    </w:p>
    <w:p>
      <w:pPr>
        <w:adjustRightInd w:val="0"/>
        <w:snapToGrid w:val="0"/>
        <w:spacing w:before="156" w:beforeLines="50" w:after="312" w:afterLines="100"/>
        <w:jc w:val="center"/>
        <w:rPr>
          <w:rFonts w:ascii="仿宋" w:hAnsi="仿宋" w:eastAsia="仿宋"/>
          <w:b/>
          <w:bCs/>
          <w:sz w:val="24"/>
          <w:szCs w:val="24"/>
        </w:rPr>
      </w:pPr>
      <w:r>
        <w:rPr>
          <w:rFonts w:hint="eastAsia" w:ascii="仿宋" w:hAnsi="仿宋" w:eastAsia="仿宋"/>
          <w:b/>
          <w:bCs/>
          <w:sz w:val="24"/>
          <w:szCs w:val="24"/>
        </w:rPr>
        <w:t>（职能部处）</w:t>
      </w:r>
    </w:p>
    <w:tbl>
      <w:tblPr>
        <w:tblStyle w:val="2"/>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6046"/>
        <w:gridCol w:w="750"/>
        <w:gridCol w:w="596"/>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52"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考评内容</w:t>
            </w:r>
          </w:p>
        </w:tc>
        <w:tc>
          <w:tcPr>
            <w:tcW w:w="6046"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考  评  标  准</w:t>
            </w:r>
          </w:p>
        </w:tc>
        <w:tc>
          <w:tcPr>
            <w:tcW w:w="0" w:type="auto"/>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标 准 分</w:t>
            </w:r>
          </w:p>
        </w:tc>
        <w:tc>
          <w:tcPr>
            <w:tcW w:w="0" w:type="auto"/>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自评分</w:t>
            </w:r>
          </w:p>
        </w:tc>
        <w:tc>
          <w:tcPr>
            <w:tcW w:w="0" w:type="auto"/>
            <w:vAlign w:val="center"/>
          </w:tcPr>
          <w:p>
            <w:pPr>
              <w:adjustRightInd w:val="0"/>
              <w:snapToGrid w:val="0"/>
              <w:spacing w:line="240" w:lineRule="atLeast"/>
              <w:jc w:val="center"/>
              <w:rPr>
                <w:rFonts w:ascii="仿宋" w:hAnsi="仿宋" w:eastAsia="仿宋"/>
                <w:b/>
                <w:sz w:val="24"/>
                <w:szCs w:val="24"/>
              </w:rPr>
            </w:pPr>
            <w:r>
              <w:rPr>
                <w:rFonts w:hint="eastAsia" w:ascii="仿宋" w:hAnsi="仿宋" w:eastAsia="仿宋"/>
                <w:b/>
                <w:sz w:val="24"/>
                <w:szCs w:val="24"/>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85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cs="宋体"/>
                <w:b/>
                <w:spacing w:val="15"/>
                <w:kern w:val="0"/>
                <w:sz w:val="24"/>
                <w:szCs w:val="24"/>
              </w:rPr>
              <w:t>履行主体责任</w:t>
            </w: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w:t>
            </w:r>
            <w:r>
              <w:rPr>
                <w:rFonts w:hint="eastAsia" w:ascii="仿宋" w:hAnsi="仿宋" w:eastAsia="仿宋" w:cs="宋体"/>
                <w:snapToGrid w:val="0"/>
                <w:kern w:val="0"/>
                <w:sz w:val="24"/>
                <w:szCs w:val="24"/>
              </w:rPr>
              <w:t>围绕学院中心工作和</w:t>
            </w:r>
            <w:r>
              <w:rPr>
                <w:rFonts w:hint="eastAsia" w:ascii="仿宋" w:hAnsi="仿宋" w:eastAsia="仿宋"/>
                <w:snapToGrid w:val="0"/>
                <w:kern w:val="0"/>
                <w:sz w:val="24"/>
                <w:szCs w:val="24"/>
              </w:rPr>
              <w:t>“</w:t>
            </w:r>
            <w:r>
              <w:rPr>
                <w:rFonts w:hint="eastAsia" w:ascii="仿宋" w:hAnsi="仿宋" w:eastAsia="仿宋" w:cs="宋体"/>
                <w:snapToGrid w:val="0"/>
                <w:kern w:val="0"/>
                <w:sz w:val="24"/>
                <w:szCs w:val="24"/>
              </w:rPr>
              <w:t>双一流</w:t>
            </w:r>
            <w:r>
              <w:rPr>
                <w:rFonts w:hint="eastAsia" w:ascii="仿宋" w:hAnsi="仿宋" w:eastAsia="仿宋"/>
                <w:snapToGrid w:val="0"/>
                <w:kern w:val="0"/>
                <w:sz w:val="24"/>
                <w:szCs w:val="24"/>
              </w:rPr>
              <w:t>”建设目标，积极贯彻落实党风廉政建设和党内监督工作主体责任”，切实履行</w:t>
            </w:r>
            <w:r>
              <w:rPr>
                <w:rFonts w:ascii="仿宋" w:hAnsi="仿宋" w:eastAsia="仿宋"/>
                <w:snapToGrid w:val="0"/>
                <w:kern w:val="0"/>
                <w:sz w:val="24"/>
                <w:szCs w:val="24"/>
              </w:rPr>
              <w:t>“</w:t>
            </w:r>
            <w:r>
              <w:rPr>
                <w:rFonts w:hint="eastAsia" w:ascii="仿宋" w:hAnsi="仿宋" w:eastAsia="仿宋"/>
                <w:snapToGrid w:val="0"/>
                <w:kern w:val="0"/>
                <w:sz w:val="24"/>
                <w:szCs w:val="24"/>
              </w:rPr>
              <w:t>一岗双责</w:t>
            </w:r>
            <w:r>
              <w:rPr>
                <w:rFonts w:ascii="仿宋" w:hAnsi="仿宋" w:eastAsia="仿宋"/>
                <w:snapToGrid w:val="0"/>
                <w:kern w:val="0"/>
                <w:sz w:val="24"/>
                <w:szCs w:val="24"/>
              </w:rPr>
              <w:t>”</w:t>
            </w:r>
            <w:r>
              <w:rPr>
                <w:rFonts w:hint="eastAsia" w:ascii="仿宋" w:hAnsi="仿宋" w:eastAsia="仿宋"/>
                <w:snapToGrid w:val="0"/>
                <w:kern w:val="0"/>
                <w:sz w:val="24"/>
                <w:szCs w:val="24"/>
              </w:rPr>
              <w:t>。</w:t>
            </w:r>
          </w:p>
        </w:tc>
        <w:tc>
          <w:tcPr>
            <w:tcW w:w="0" w:type="auto"/>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15</w:t>
            </w:r>
          </w:p>
        </w:tc>
        <w:tc>
          <w:tcPr>
            <w:tcW w:w="0" w:type="auto"/>
            <w:vMerge w:val="restart"/>
            <w:vAlign w:val="center"/>
          </w:tcPr>
          <w:p>
            <w:pPr>
              <w:adjustRightInd w:val="0"/>
              <w:snapToGrid w:val="0"/>
              <w:spacing w:line="240" w:lineRule="atLeast"/>
              <w:jc w:val="center"/>
              <w:rPr>
                <w:rFonts w:ascii="仿宋" w:hAnsi="仿宋" w:eastAsia="仿宋"/>
                <w:sz w:val="28"/>
                <w:szCs w:val="28"/>
              </w:rPr>
            </w:pPr>
          </w:p>
        </w:tc>
        <w:tc>
          <w:tcPr>
            <w:tcW w:w="0" w:type="auto"/>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52" w:type="dxa"/>
            <w:vMerge w:val="continue"/>
            <w:vAlign w:val="center"/>
          </w:tcPr>
          <w:p>
            <w:pPr>
              <w:adjustRightInd w:val="0"/>
              <w:snapToGrid w:val="0"/>
              <w:spacing w:line="240" w:lineRule="atLeast"/>
              <w:jc w:val="center"/>
              <w:rPr>
                <w:rFonts w:ascii="仿宋" w:hAnsi="仿宋" w:eastAsia="仿宋"/>
                <w:sz w:val="28"/>
                <w:szCs w:val="28"/>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2</w:t>
            </w:r>
            <w:r>
              <w:rPr>
                <w:rFonts w:hint="eastAsia" w:ascii="仿宋" w:hAnsi="仿宋" w:eastAsia="仿宋" w:cs="宋体"/>
                <w:snapToGrid w:val="0"/>
                <w:kern w:val="0"/>
                <w:sz w:val="24"/>
                <w:szCs w:val="24"/>
              </w:rPr>
              <w:t>．坚持管党治党与业务工作同部署、同落实、同检查、同考核。</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52" w:type="dxa"/>
            <w:vMerge w:val="continue"/>
            <w:vAlign w:val="center"/>
          </w:tcPr>
          <w:p>
            <w:pPr>
              <w:adjustRightInd w:val="0"/>
              <w:snapToGrid w:val="0"/>
              <w:spacing w:line="240" w:lineRule="atLeast"/>
              <w:jc w:val="center"/>
              <w:rPr>
                <w:rFonts w:ascii="仿宋" w:hAnsi="仿宋" w:eastAsia="仿宋"/>
                <w:sz w:val="28"/>
                <w:szCs w:val="28"/>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3．部门负责人发挥带头作用，注重作风建设。勤政廉洁，正确行使权力，班子子团结和谐、风清气正。</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5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cs="宋体"/>
                <w:b/>
                <w:spacing w:val="15"/>
                <w:kern w:val="0"/>
                <w:sz w:val="24"/>
                <w:szCs w:val="24"/>
              </w:rPr>
              <w:t>廉政宣传教育</w:t>
            </w: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4．结合实际自主开展廉政学习教育活动，每年组织党风廉政建设专题学习或专题研究至少2次，部门学习有制度、有记录。</w:t>
            </w:r>
          </w:p>
        </w:tc>
        <w:tc>
          <w:tcPr>
            <w:tcW w:w="0" w:type="auto"/>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15</w:t>
            </w:r>
          </w:p>
        </w:tc>
        <w:tc>
          <w:tcPr>
            <w:tcW w:w="0" w:type="auto"/>
            <w:vMerge w:val="restart"/>
            <w:vAlign w:val="center"/>
          </w:tcPr>
          <w:p>
            <w:pPr>
              <w:adjustRightInd w:val="0"/>
              <w:snapToGrid w:val="0"/>
              <w:spacing w:line="240" w:lineRule="atLeast"/>
              <w:jc w:val="center"/>
              <w:rPr>
                <w:rFonts w:ascii="仿宋" w:hAnsi="仿宋" w:eastAsia="仿宋"/>
                <w:sz w:val="28"/>
                <w:szCs w:val="28"/>
              </w:rPr>
            </w:pPr>
          </w:p>
        </w:tc>
        <w:tc>
          <w:tcPr>
            <w:tcW w:w="0" w:type="auto"/>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52" w:type="dxa"/>
            <w:vMerge w:val="continue"/>
            <w:vAlign w:val="center"/>
          </w:tcPr>
          <w:p>
            <w:pPr>
              <w:adjustRightInd w:val="0"/>
              <w:snapToGrid w:val="0"/>
              <w:spacing w:line="240" w:lineRule="atLeast"/>
              <w:jc w:val="center"/>
              <w:rPr>
                <w:rFonts w:ascii="仿宋" w:hAnsi="仿宋" w:eastAsia="仿宋"/>
                <w:sz w:val="28"/>
                <w:szCs w:val="28"/>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5．认真学习传达上级文件精神，弘扬廉政文化，积极认真参加</w:t>
            </w:r>
            <w:r>
              <w:rPr>
                <w:rFonts w:hint="eastAsia" w:ascii="仿宋" w:hAnsi="仿宋" w:eastAsia="仿宋" w:cs="宋体"/>
                <w:snapToGrid w:val="0"/>
                <w:kern w:val="0"/>
                <w:sz w:val="24"/>
                <w:szCs w:val="24"/>
              </w:rPr>
              <w:t>学院</w:t>
            </w:r>
            <w:r>
              <w:rPr>
                <w:rFonts w:hint="eastAsia" w:ascii="仿宋" w:hAnsi="仿宋" w:eastAsia="仿宋"/>
                <w:snapToGrid w:val="0"/>
                <w:kern w:val="0"/>
                <w:sz w:val="24"/>
                <w:szCs w:val="24"/>
              </w:rPr>
              <w:t>组织的党风廉政建设宣传教育和廉政文化建设等活动，取得较好效果。</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2" w:type="dxa"/>
            <w:vMerge w:val="restart"/>
            <w:vAlign w:val="center"/>
          </w:tcPr>
          <w:p>
            <w:pPr>
              <w:adjustRightInd w:val="0"/>
              <w:snapToGrid w:val="0"/>
              <w:spacing w:line="240" w:lineRule="atLeast"/>
              <w:jc w:val="center"/>
              <w:rPr>
                <w:rFonts w:hint="eastAsia" w:ascii="仿宋" w:hAnsi="仿宋" w:eastAsia="仿宋" w:cs="宋体"/>
                <w:b/>
                <w:spacing w:val="15"/>
                <w:kern w:val="0"/>
                <w:sz w:val="24"/>
                <w:szCs w:val="24"/>
              </w:rPr>
            </w:pPr>
            <w:r>
              <w:rPr>
                <w:rFonts w:hint="eastAsia" w:ascii="仿宋" w:hAnsi="仿宋" w:eastAsia="仿宋" w:cs="宋体"/>
                <w:b/>
                <w:spacing w:val="15"/>
                <w:kern w:val="0"/>
                <w:sz w:val="24"/>
                <w:szCs w:val="24"/>
              </w:rPr>
              <w:t>制度建设与</w:t>
            </w:r>
          </w:p>
          <w:p>
            <w:pPr>
              <w:adjustRightInd w:val="0"/>
              <w:snapToGrid w:val="0"/>
              <w:spacing w:line="240" w:lineRule="atLeast"/>
              <w:jc w:val="center"/>
              <w:rPr>
                <w:rFonts w:ascii="仿宋" w:hAnsi="仿宋" w:eastAsia="仿宋"/>
                <w:b/>
                <w:sz w:val="28"/>
                <w:szCs w:val="28"/>
              </w:rPr>
            </w:pPr>
            <w:r>
              <w:rPr>
                <w:rFonts w:hint="eastAsia" w:ascii="仿宋" w:hAnsi="仿宋" w:eastAsia="仿宋" w:cs="宋体"/>
                <w:b/>
                <w:spacing w:val="15"/>
                <w:kern w:val="0"/>
                <w:sz w:val="24"/>
                <w:szCs w:val="24"/>
              </w:rPr>
              <w:t>权力运行</w:t>
            </w: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6．认真贯彻民主集中制原则，严格遵守“三重一大” 集体决策制度。</w:t>
            </w:r>
          </w:p>
        </w:tc>
        <w:tc>
          <w:tcPr>
            <w:tcW w:w="0" w:type="auto"/>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25</w:t>
            </w:r>
          </w:p>
        </w:tc>
        <w:tc>
          <w:tcPr>
            <w:tcW w:w="0" w:type="auto"/>
            <w:vMerge w:val="restart"/>
            <w:vAlign w:val="center"/>
          </w:tcPr>
          <w:p>
            <w:pPr>
              <w:adjustRightInd w:val="0"/>
              <w:snapToGrid w:val="0"/>
              <w:spacing w:line="240" w:lineRule="atLeast"/>
              <w:jc w:val="center"/>
              <w:rPr>
                <w:rFonts w:ascii="仿宋" w:hAnsi="仿宋" w:eastAsia="仿宋"/>
                <w:sz w:val="28"/>
                <w:szCs w:val="28"/>
              </w:rPr>
            </w:pPr>
          </w:p>
        </w:tc>
        <w:tc>
          <w:tcPr>
            <w:tcW w:w="0" w:type="auto"/>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52" w:type="dxa"/>
            <w:vMerge w:val="continue"/>
            <w:vAlign w:val="center"/>
          </w:tcPr>
          <w:p>
            <w:pPr>
              <w:adjustRightInd w:val="0"/>
              <w:snapToGrid w:val="0"/>
              <w:spacing w:line="240" w:lineRule="atLeast"/>
              <w:jc w:val="center"/>
              <w:rPr>
                <w:rFonts w:ascii="仿宋" w:hAnsi="仿宋" w:eastAsia="仿宋"/>
                <w:sz w:val="28"/>
                <w:szCs w:val="28"/>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7．严格遵守</w:t>
            </w:r>
            <w:r>
              <w:rPr>
                <w:rFonts w:hint="eastAsia" w:ascii="仿宋" w:hAnsi="仿宋" w:eastAsia="仿宋" w:cs="宋体"/>
                <w:snapToGrid w:val="0"/>
                <w:kern w:val="0"/>
                <w:sz w:val="24"/>
                <w:szCs w:val="24"/>
              </w:rPr>
              <w:t>学院</w:t>
            </w:r>
            <w:r>
              <w:rPr>
                <w:rFonts w:hint="eastAsia" w:ascii="仿宋" w:hAnsi="仿宋" w:eastAsia="仿宋"/>
                <w:snapToGrid w:val="0"/>
                <w:kern w:val="0"/>
                <w:sz w:val="24"/>
                <w:szCs w:val="24"/>
              </w:rPr>
              <w:t>关于贯彻落实中央八项规定精神的实施办法，坚决纠正隐形变异“四风”问题。</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52" w:type="dxa"/>
            <w:vMerge w:val="continue"/>
            <w:vAlign w:val="center"/>
          </w:tcPr>
          <w:p>
            <w:pPr>
              <w:adjustRightInd w:val="0"/>
              <w:snapToGrid w:val="0"/>
              <w:spacing w:line="240" w:lineRule="atLeast"/>
              <w:jc w:val="center"/>
              <w:rPr>
                <w:rFonts w:ascii="仿宋" w:hAnsi="仿宋" w:eastAsia="仿宋"/>
                <w:sz w:val="28"/>
                <w:szCs w:val="28"/>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8．严格</w:t>
            </w:r>
            <w:r>
              <w:rPr>
                <w:rFonts w:ascii="仿宋" w:hAnsi="仿宋" w:eastAsia="仿宋"/>
                <w:snapToGrid w:val="0"/>
                <w:kern w:val="0"/>
                <w:sz w:val="24"/>
                <w:szCs w:val="24"/>
              </w:rPr>
              <w:t>遵守</w:t>
            </w:r>
            <w:r>
              <w:rPr>
                <w:rFonts w:hint="eastAsia" w:ascii="仿宋" w:hAnsi="仿宋" w:eastAsia="仿宋" w:cs="宋体"/>
                <w:snapToGrid w:val="0"/>
                <w:kern w:val="0"/>
                <w:sz w:val="24"/>
                <w:szCs w:val="24"/>
              </w:rPr>
              <w:t>学院</w:t>
            </w:r>
            <w:r>
              <w:rPr>
                <w:rFonts w:ascii="仿宋" w:hAnsi="仿宋" w:eastAsia="仿宋"/>
                <w:snapToGrid w:val="0"/>
                <w:kern w:val="0"/>
                <w:sz w:val="24"/>
                <w:szCs w:val="24"/>
              </w:rPr>
              <w:t>的财务制度</w:t>
            </w:r>
            <w:r>
              <w:rPr>
                <w:rFonts w:hint="eastAsia" w:ascii="仿宋" w:hAnsi="仿宋" w:eastAsia="仿宋" w:cs="宋体"/>
                <w:snapToGrid w:val="0"/>
                <w:kern w:val="0"/>
                <w:sz w:val="24"/>
                <w:szCs w:val="24"/>
              </w:rPr>
              <w:t>、</w:t>
            </w:r>
            <w:r>
              <w:rPr>
                <w:rFonts w:hint="eastAsia" w:ascii="仿宋" w:hAnsi="仿宋" w:eastAsia="仿宋"/>
                <w:snapToGrid w:val="0"/>
                <w:kern w:val="0"/>
                <w:sz w:val="24"/>
                <w:szCs w:val="24"/>
              </w:rPr>
              <w:t>内控制度等各项要求，内部管理规范</w:t>
            </w:r>
            <w:r>
              <w:rPr>
                <w:rFonts w:ascii="仿宋" w:hAnsi="仿宋" w:eastAsia="仿宋"/>
                <w:snapToGrid w:val="0"/>
                <w:kern w:val="0"/>
                <w:sz w:val="24"/>
                <w:szCs w:val="24"/>
              </w:rPr>
              <w:t>。</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852" w:type="dxa"/>
            <w:vMerge w:val="continue"/>
            <w:vAlign w:val="center"/>
          </w:tcPr>
          <w:p>
            <w:pPr>
              <w:adjustRightInd w:val="0"/>
              <w:snapToGrid w:val="0"/>
              <w:spacing w:line="240" w:lineRule="atLeast"/>
              <w:rPr>
                <w:rFonts w:ascii="仿宋" w:hAnsi="仿宋" w:eastAsia="仿宋"/>
                <w:sz w:val="28"/>
                <w:szCs w:val="28"/>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9．对涉及本部门干部和职工在党风廉政方面的问题线索和违纪案件及时向院纪委报告，协助核查，做好妥善处置工作。</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监督机制</w:t>
            </w: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10．协助院党政领导抓好分管工作领域的廉政建设，针对廉政风险点加强防控管理，不断完善相关措施，建立廉政风险等级动态监控机制。</w:t>
            </w:r>
          </w:p>
        </w:tc>
        <w:tc>
          <w:tcPr>
            <w:tcW w:w="0" w:type="auto"/>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20</w:t>
            </w:r>
          </w:p>
        </w:tc>
        <w:tc>
          <w:tcPr>
            <w:tcW w:w="0" w:type="auto"/>
            <w:vMerge w:val="restart"/>
            <w:vAlign w:val="center"/>
          </w:tcPr>
          <w:p>
            <w:pPr>
              <w:adjustRightInd w:val="0"/>
              <w:snapToGrid w:val="0"/>
              <w:spacing w:line="240" w:lineRule="atLeast"/>
              <w:jc w:val="center"/>
              <w:rPr>
                <w:rFonts w:ascii="仿宋" w:hAnsi="仿宋" w:eastAsia="仿宋"/>
                <w:sz w:val="28"/>
                <w:szCs w:val="28"/>
              </w:rPr>
            </w:pPr>
          </w:p>
        </w:tc>
        <w:tc>
          <w:tcPr>
            <w:tcW w:w="0" w:type="auto"/>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852" w:type="dxa"/>
            <w:vMerge w:val="continue"/>
            <w:vAlign w:val="center"/>
          </w:tcPr>
          <w:p>
            <w:pPr>
              <w:adjustRightInd w:val="0"/>
              <w:snapToGrid w:val="0"/>
              <w:spacing w:line="240" w:lineRule="atLeast"/>
              <w:rPr>
                <w:rFonts w:ascii="仿宋" w:hAnsi="仿宋" w:eastAsia="仿宋"/>
                <w:sz w:val="24"/>
                <w:szCs w:val="24"/>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11．结合部门业务工作实际，对涉及人、财、物等权力的重点岗位按照权责一致的要求，确保相互分离、相互制约、相互监督。</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2" w:type="dxa"/>
            <w:vMerge w:val="continue"/>
            <w:vAlign w:val="center"/>
          </w:tcPr>
          <w:p>
            <w:pPr>
              <w:adjustRightInd w:val="0"/>
              <w:snapToGrid w:val="0"/>
              <w:spacing w:line="240" w:lineRule="atLeast"/>
              <w:rPr>
                <w:rFonts w:ascii="仿宋" w:hAnsi="仿宋" w:eastAsia="仿宋"/>
                <w:sz w:val="28"/>
                <w:szCs w:val="28"/>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12．积极推进巡视、巡察等各类监督检查的问题整改，建立长效机制。</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52" w:type="dxa"/>
            <w:vMerge w:val="restart"/>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廉洁自律</w:t>
            </w: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13．严格执行领导干部廉洁从政各项规定，认真</w:t>
            </w:r>
            <w:r>
              <w:rPr>
                <w:rFonts w:hint="eastAsia" w:ascii="仿宋" w:hAnsi="仿宋" w:eastAsia="仿宋"/>
                <w:color w:val="000000"/>
                <w:sz w:val="24"/>
                <w:szCs w:val="24"/>
              </w:rPr>
              <w:t>执行个人重大事项报告制度等。</w:t>
            </w:r>
          </w:p>
        </w:tc>
        <w:tc>
          <w:tcPr>
            <w:tcW w:w="0" w:type="auto"/>
            <w:vMerge w:val="restart"/>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15</w:t>
            </w:r>
          </w:p>
        </w:tc>
        <w:tc>
          <w:tcPr>
            <w:tcW w:w="0" w:type="auto"/>
            <w:vMerge w:val="restart"/>
            <w:vAlign w:val="center"/>
          </w:tcPr>
          <w:p>
            <w:pPr>
              <w:adjustRightInd w:val="0"/>
              <w:snapToGrid w:val="0"/>
              <w:spacing w:line="240" w:lineRule="atLeast"/>
              <w:jc w:val="center"/>
              <w:rPr>
                <w:rFonts w:ascii="仿宋" w:hAnsi="仿宋" w:eastAsia="仿宋"/>
                <w:sz w:val="28"/>
                <w:szCs w:val="28"/>
              </w:rPr>
            </w:pPr>
          </w:p>
        </w:tc>
        <w:tc>
          <w:tcPr>
            <w:tcW w:w="0" w:type="auto"/>
            <w:vMerge w:val="restart"/>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2" w:type="dxa"/>
            <w:vMerge w:val="continue"/>
            <w:vAlign w:val="center"/>
          </w:tcPr>
          <w:p>
            <w:pPr>
              <w:adjustRightInd w:val="0"/>
              <w:snapToGrid w:val="0"/>
              <w:spacing w:line="240" w:lineRule="atLeast"/>
              <w:rPr>
                <w:rFonts w:ascii="仿宋" w:hAnsi="仿宋" w:eastAsia="仿宋"/>
                <w:sz w:val="24"/>
                <w:szCs w:val="24"/>
              </w:rPr>
            </w:pP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14．廉政勤政在群众中有较好口碑。</w:t>
            </w:r>
          </w:p>
        </w:tc>
        <w:tc>
          <w:tcPr>
            <w:tcW w:w="0" w:type="auto"/>
            <w:vMerge w:val="continue"/>
            <w:vAlign w:val="center"/>
          </w:tcPr>
          <w:p>
            <w:pPr>
              <w:adjustRightInd w:val="0"/>
              <w:snapToGrid w:val="0"/>
              <w:spacing w:line="240" w:lineRule="atLeast"/>
              <w:jc w:val="center"/>
              <w:rPr>
                <w:rFonts w:ascii="仿宋" w:hAnsi="仿宋" w:eastAsia="仿宋"/>
                <w:sz w:val="24"/>
                <w:szCs w:val="24"/>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c>
          <w:tcPr>
            <w:tcW w:w="0" w:type="auto"/>
            <w:vMerge w:val="continue"/>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trPr>
        <w:tc>
          <w:tcPr>
            <w:tcW w:w="852" w:type="dxa"/>
            <w:vAlign w:val="center"/>
          </w:tcPr>
          <w:p>
            <w:pPr>
              <w:adjustRightInd w:val="0"/>
              <w:snapToGrid w:val="0"/>
              <w:spacing w:line="240" w:lineRule="atLeast"/>
              <w:jc w:val="center"/>
              <w:rPr>
                <w:rFonts w:ascii="仿宋" w:hAnsi="仿宋" w:eastAsia="仿宋"/>
                <w:b/>
                <w:sz w:val="28"/>
                <w:szCs w:val="28"/>
              </w:rPr>
            </w:pPr>
            <w:r>
              <w:rPr>
                <w:rFonts w:hint="eastAsia" w:ascii="仿宋" w:hAnsi="仿宋" w:eastAsia="仿宋"/>
                <w:b/>
                <w:sz w:val="24"/>
                <w:szCs w:val="24"/>
              </w:rPr>
              <w:t>特色亮点</w:t>
            </w:r>
          </w:p>
        </w:tc>
        <w:tc>
          <w:tcPr>
            <w:tcW w:w="6046" w:type="dxa"/>
            <w:vAlign w:val="center"/>
          </w:tcPr>
          <w:p>
            <w:pPr>
              <w:adjustRightInd w:val="0"/>
              <w:snapToGrid w:val="0"/>
              <w:spacing w:line="240" w:lineRule="atLeast"/>
              <w:rPr>
                <w:rFonts w:ascii="仿宋" w:hAnsi="仿宋" w:eastAsia="仿宋"/>
                <w:snapToGrid w:val="0"/>
                <w:kern w:val="0"/>
                <w:sz w:val="24"/>
                <w:szCs w:val="24"/>
              </w:rPr>
            </w:pPr>
            <w:r>
              <w:rPr>
                <w:rFonts w:hint="eastAsia" w:ascii="仿宋" w:hAnsi="仿宋" w:eastAsia="仿宋"/>
                <w:snapToGrid w:val="0"/>
                <w:kern w:val="0"/>
                <w:sz w:val="24"/>
                <w:szCs w:val="24"/>
              </w:rPr>
              <w:t>15．开展主题鲜明、富有新意的党风廉政建设工作，形成特色项目并取得成效。</w:t>
            </w:r>
          </w:p>
        </w:tc>
        <w:tc>
          <w:tcPr>
            <w:tcW w:w="0" w:type="auto"/>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10</w:t>
            </w:r>
          </w:p>
        </w:tc>
        <w:tc>
          <w:tcPr>
            <w:tcW w:w="0" w:type="auto"/>
            <w:vAlign w:val="center"/>
          </w:tcPr>
          <w:p>
            <w:pPr>
              <w:adjustRightInd w:val="0"/>
              <w:snapToGrid w:val="0"/>
              <w:spacing w:line="240" w:lineRule="atLeast"/>
              <w:jc w:val="center"/>
              <w:rPr>
                <w:rFonts w:ascii="仿宋" w:hAnsi="仿宋" w:eastAsia="仿宋"/>
                <w:sz w:val="28"/>
                <w:szCs w:val="28"/>
              </w:rPr>
            </w:pPr>
          </w:p>
        </w:tc>
        <w:tc>
          <w:tcPr>
            <w:tcW w:w="0" w:type="auto"/>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52" w:type="dxa"/>
            <w:vAlign w:val="center"/>
          </w:tcPr>
          <w:p>
            <w:pPr>
              <w:adjustRightInd w:val="0"/>
              <w:snapToGrid w:val="0"/>
              <w:spacing w:line="240" w:lineRule="atLeast"/>
              <w:jc w:val="center"/>
              <w:rPr>
                <w:rFonts w:ascii="仿宋" w:hAnsi="仿宋" w:eastAsia="仿宋"/>
                <w:b/>
                <w:sz w:val="24"/>
                <w:szCs w:val="24"/>
              </w:rPr>
            </w:pPr>
            <w:r>
              <w:rPr>
                <w:rFonts w:hint="eastAsia" w:ascii="仿宋" w:hAnsi="仿宋" w:eastAsia="仿宋"/>
                <w:b/>
                <w:sz w:val="24"/>
                <w:szCs w:val="24"/>
              </w:rPr>
              <w:t>合计</w:t>
            </w:r>
          </w:p>
        </w:tc>
        <w:tc>
          <w:tcPr>
            <w:tcW w:w="6046" w:type="dxa"/>
            <w:vAlign w:val="center"/>
          </w:tcPr>
          <w:p>
            <w:pPr>
              <w:adjustRightInd w:val="0"/>
              <w:snapToGrid w:val="0"/>
              <w:spacing w:line="240" w:lineRule="atLeast"/>
              <w:rPr>
                <w:rFonts w:ascii="仿宋" w:hAnsi="仿宋" w:eastAsia="仿宋"/>
                <w:sz w:val="24"/>
                <w:szCs w:val="24"/>
              </w:rPr>
            </w:pPr>
          </w:p>
        </w:tc>
        <w:tc>
          <w:tcPr>
            <w:tcW w:w="0" w:type="auto"/>
            <w:vAlign w:val="center"/>
          </w:tcPr>
          <w:p>
            <w:pPr>
              <w:adjustRightInd w:val="0"/>
              <w:snapToGrid w:val="0"/>
              <w:spacing w:line="240" w:lineRule="atLeast"/>
              <w:jc w:val="center"/>
              <w:rPr>
                <w:rFonts w:ascii="仿宋" w:hAnsi="仿宋" w:eastAsia="仿宋"/>
                <w:sz w:val="24"/>
                <w:szCs w:val="24"/>
              </w:rPr>
            </w:pPr>
            <w:r>
              <w:rPr>
                <w:rFonts w:hint="eastAsia" w:ascii="仿宋" w:hAnsi="仿宋" w:eastAsia="仿宋"/>
                <w:sz w:val="24"/>
                <w:szCs w:val="24"/>
              </w:rPr>
              <w:t>100</w:t>
            </w:r>
          </w:p>
        </w:tc>
        <w:tc>
          <w:tcPr>
            <w:tcW w:w="0" w:type="auto"/>
            <w:vAlign w:val="center"/>
          </w:tcPr>
          <w:p>
            <w:pPr>
              <w:adjustRightInd w:val="0"/>
              <w:snapToGrid w:val="0"/>
              <w:spacing w:line="240" w:lineRule="atLeast"/>
              <w:jc w:val="center"/>
              <w:rPr>
                <w:rFonts w:ascii="仿宋" w:hAnsi="仿宋" w:eastAsia="仿宋"/>
                <w:sz w:val="28"/>
                <w:szCs w:val="28"/>
              </w:rPr>
            </w:pPr>
          </w:p>
        </w:tc>
        <w:tc>
          <w:tcPr>
            <w:tcW w:w="0" w:type="auto"/>
            <w:vAlign w:val="center"/>
          </w:tcPr>
          <w:p>
            <w:pPr>
              <w:adjustRightInd w:val="0"/>
              <w:snapToGrid w:val="0"/>
              <w:spacing w:line="240" w:lineRule="atLeast"/>
              <w:jc w:val="center"/>
              <w:rPr>
                <w:rFonts w:ascii="仿宋" w:hAnsi="仿宋" w:eastAsia="仿宋"/>
                <w:sz w:val="28"/>
                <w:szCs w:val="28"/>
              </w:rPr>
            </w:pPr>
          </w:p>
        </w:tc>
      </w:tr>
    </w:tbl>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spacing w:line="380" w:lineRule="exact"/>
        <w:rPr>
          <w:rFonts w:ascii="仿宋" w:hAnsi="仿宋" w:eastAsia="仿宋"/>
          <w:b/>
          <w:color w:val="000000"/>
          <w:sz w:val="24"/>
          <w:szCs w:val="24"/>
        </w:rPr>
      </w:pPr>
      <w:r>
        <w:rPr>
          <w:rFonts w:hint="eastAsia" w:ascii="仿宋" w:hAnsi="仿宋" w:eastAsia="仿宋"/>
          <w:b/>
          <w:color w:val="000000"/>
          <w:sz w:val="24"/>
          <w:szCs w:val="24"/>
        </w:rPr>
        <w:t>机关部、处、室（盖章）：______________</w:t>
      </w:r>
    </w:p>
    <w:p>
      <w:pPr>
        <w:spacing w:line="380" w:lineRule="exact"/>
        <w:rPr>
          <w:rFonts w:ascii="仿宋" w:hAnsi="仿宋" w:eastAsia="仿宋"/>
          <w:b/>
          <w:color w:val="000000"/>
          <w:sz w:val="24"/>
          <w:szCs w:val="24"/>
        </w:rPr>
      </w:pPr>
    </w:p>
    <w:p>
      <w:pPr>
        <w:spacing w:line="380" w:lineRule="exact"/>
        <w:rPr>
          <w:rFonts w:ascii="仿宋" w:hAnsi="仿宋" w:eastAsia="仿宋"/>
          <w:b/>
          <w:color w:val="000000"/>
          <w:sz w:val="24"/>
          <w:szCs w:val="24"/>
        </w:rPr>
      </w:pPr>
      <w:r>
        <w:rPr>
          <w:rFonts w:hint="eastAsia" w:ascii="仿宋" w:hAnsi="仿宋" w:eastAsia="仿宋"/>
          <w:b/>
          <w:color w:val="000000"/>
          <w:sz w:val="24"/>
          <w:szCs w:val="24"/>
        </w:rPr>
        <w:t>机关部、处、室领导签名：______________</w:t>
      </w:r>
    </w:p>
    <w:p>
      <w:pPr>
        <w:spacing w:line="380" w:lineRule="exact"/>
        <w:ind w:firstLine="6108" w:firstLineChars="2535"/>
        <w:rPr>
          <w:rFonts w:ascii="仿宋" w:hAnsi="仿宋" w:eastAsia="仿宋"/>
          <w:b/>
          <w:color w:val="000000"/>
          <w:sz w:val="24"/>
          <w:szCs w:val="24"/>
        </w:rPr>
      </w:pPr>
    </w:p>
    <w:p>
      <w:pPr>
        <w:spacing w:line="380" w:lineRule="exact"/>
        <w:ind w:firstLine="6108" w:firstLineChars="2535"/>
        <w:rPr>
          <w:rFonts w:ascii="仿宋" w:hAnsi="仿宋" w:eastAsia="仿宋"/>
          <w:b/>
          <w:color w:val="000000"/>
          <w:sz w:val="24"/>
          <w:szCs w:val="24"/>
        </w:rPr>
      </w:pPr>
      <w:r>
        <w:rPr>
          <w:rFonts w:hint="eastAsia" w:ascii="仿宋" w:hAnsi="仿宋" w:eastAsia="仿宋"/>
          <w:b/>
          <w:color w:val="000000"/>
          <w:sz w:val="24"/>
          <w:szCs w:val="24"/>
        </w:rPr>
        <w:t xml:space="preserve">    年    月    日</w:t>
      </w:r>
    </w:p>
    <w:p>
      <w:pPr>
        <w:tabs>
          <w:tab w:val="left" w:pos="709"/>
        </w:tabs>
        <w:spacing w:line="380" w:lineRule="exact"/>
        <w:ind w:left="1240" w:hanging="1240" w:hangingChars="588"/>
        <w:rPr>
          <w:rFonts w:ascii="仿宋" w:hAnsi="仿宋" w:eastAsia="仿宋" w:cs="宋体"/>
          <w:b/>
          <w:color w:val="000000"/>
          <w:kern w:val="0"/>
          <w:szCs w:val="21"/>
        </w:rPr>
      </w:pPr>
      <w:r>
        <w:rPr>
          <w:rFonts w:hint="eastAsia" w:ascii="仿宋" w:hAnsi="仿宋" w:eastAsia="仿宋" w:cs="宋体"/>
          <w:b/>
          <w:color w:val="000000"/>
          <w:kern w:val="0"/>
          <w:szCs w:val="21"/>
        </w:rPr>
        <w:t>备注：</w:t>
      </w:r>
    </w:p>
    <w:p>
      <w:pPr>
        <w:tabs>
          <w:tab w:val="left" w:pos="709"/>
        </w:tabs>
        <w:spacing w:line="380" w:lineRule="exact"/>
        <w:ind w:left="1240" w:hanging="1240" w:hangingChars="588"/>
        <w:rPr>
          <w:rFonts w:ascii="仿宋" w:hAnsi="仿宋" w:eastAsia="仿宋"/>
          <w:b/>
          <w:color w:val="000000"/>
          <w:szCs w:val="21"/>
        </w:rPr>
      </w:pPr>
      <w:r>
        <w:rPr>
          <w:rFonts w:hint="eastAsia" w:ascii="仿宋" w:hAnsi="仿宋" w:eastAsia="仿宋"/>
          <w:b/>
          <w:bCs/>
          <w:color w:val="000000"/>
          <w:szCs w:val="21"/>
        </w:rPr>
        <w:t>有下列情形之一的，党风廉政考评给予“一票否决”：</w:t>
      </w:r>
    </w:p>
    <w:p>
      <w:pPr>
        <w:spacing w:line="380" w:lineRule="exact"/>
        <w:rPr>
          <w:rFonts w:ascii="仿宋" w:hAnsi="仿宋" w:eastAsia="仿宋"/>
          <w:b/>
          <w:bCs/>
          <w:color w:val="000000"/>
          <w:szCs w:val="21"/>
        </w:rPr>
      </w:pPr>
      <w:r>
        <w:rPr>
          <w:rFonts w:hint="eastAsia" w:ascii="仿宋" w:hAnsi="仿宋" w:eastAsia="仿宋"/>
          <w:b/>
          <w:bCs/>
          <w:color w:val="000000"/>
          <w:szCs w:val="21"/>
        </w:rPr>
        <w:t>1．部门领导发生严重的违纪违法问题。</w:t>
      </w:r>
    </w:p>
    <w:p>
      <w:pPr>
        <w:spacing w:line="380" w:lineRule="exact"/>
        <w:rPr>
          <w:rFonts w:ascii="仿宋" w:hAnsi="仿宋" w:eastAsia="仿宋"/>
          <w:b/>
          <w:bCs/>
          <w:color w:val="000000"/>
          <w:szCs w:val="21"/>
        </w:rPr>
      </w:pPr>
      <w:r>
        <w:rPr>
          <w:rFonts w:hint="eastAsia" w:ascii="仿宋" w:hAnsi="仿宋" w:eastAsia="仿宋"/>
          <w:b/>
          <w:bCs/>
          <w:color w:val="000000"/>
          <w:szCs w:val="21"/>
        </w:rPr>
        <w:t>2．本部门发生严重的违纪、违法问题隐瞒不报的。</w:t>
      </w:r>
    </w:p>
    <w:p>
      <w:pPr>
        <w:spacing w:line="380" w:lineRule="exact"/>
        <w:rPr>
          <w:rFonts w:ascii="仿宋" w:hAnsi="仿宋" w:eastAsia="仿宋"/>
          <w:b/>
          <w:bCs/>
          <w:color w:val="000000"/>
          <w:szCs w:val="21"/>
        </w:rPr>
      </w:pPr>
      <w:r>
        <w:rPr>
          <w:rFonts w:hint="eastAsia" w:ascii="仿宋" w:hAnsi="仿宋" w:eastAsia="仿宋"/>
          <w:b/>
          <w:bCs/>
          <w:color w:val="000000"/>
          <w:szCs w:val="21"/>
        </w:rPr>
        <w:t>3．党风廉政建设发生重大问题，造成恶劣政治影响或严重影响学院形象的。</w:t>
      </w:r>
    </w:p>
    <w:p>
      <w:pPr>
        <w:spacing w:line="380" w:lineRule="exact"/>
        <w:rPr>
          <w:rFonts w:ascii="仿宋" w:hAnsi="仿宋" w:eastAsia="仿宋"/>
          <w:b/>
          <w:bCs/>
          <w:color w:val="000000"/>
          <w:szCs w:val="21"/>
        </w:rPr>
      </w:pPr>
      <w:r>
        <w:rPr>
          <w:rFonts w:hint="eastAsia" w:ascii="仿宋" w:hAnsi="仿宋" w:eastAsia="仿宋"/>
          <w:b/>
          <w:bCs/>
          <w:color w:val="000000"/>
          <w:szCs w:val="21"/>
        </w:rPr>
        <w:t>4．存在发生严重问题的隐患，经有关部门建议、警告仍不采取有力措施整改的。</w:t>
      </w:r>
    </w:p>
    <w:p>
      <w:pPr>
        <w:spacing w:line="380" w:lineRule="exact"/>
        <w:rPr>
          <w:rFonts w:hint="eastAsia" w:ascii="仿宋" w:hAnsi="仿宋" w:eastAsia="仿宋"/>
          <w:b/>
          <w:bCs/>
          <w:color w:val="000000"/>
          <w:szCs w:val="21"/>
        </w:rPr>
      </w:pPr>
      <w:r>
        <w:rPr>
          <w:rFonts w:hint="eastAsia" w:ascii="仿宋" w:hAnsi="仿宋" w:eastAsia="仿宋"/>
          <w:b/>
          <w:bCs/>
          <w:color w:val="000000"/>
          <w:szCs w:val="21"/>
        </w:rPr>
        <w:t>5．对照巡视、巡察要求，自查自纠不到位，落实整改不力的。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96CCE"/>
    <w:rsid w:val="7D296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2021-06-04T02:21:00Z</dcterms:created>
  <dc:creator>上音组织部</dc:creator>
  <cp:lastModifiedBy>上音组织部</cp:lastModifiedBy>
  <dcterms:modified xsi:type="dcterms:W3CDTF">2021-06-04T02:21:32Z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C4BA0F9AA96F4F8997CF13DF8AD58AD6</vt:lpwstr>
  </property>
</Properties>
</file>